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51F11AB8" w14:textId="60E75EE2" w:rsidR="00C44F3E" w:rsidRP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44F3E">
        <w:rPr>
          <w:rFonts w:ascii="Times New Roman" w:eastAsia="Times New Roman" w:hAnsi="Times New Roman" w:cs="Times New Roman"/>
          <w:lang w:eastAsia="pl-PL"/>
        </w:rPr>
        <w:t>Znak sprawy ZP.271.6.2022</w:t>
      </w:r>
    </w:p>
    <w:p w14:paraId="72BC0115" w14:textId="620CFA73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155F6E20" w:rsidR="00C44F3E" w:rsidRPr="006467EA" w:rsidRDefault="00C44F3E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Postępowanie o udzielenie zamówienia jest prowadzone w trybie podstawowym na podstawie art. 275 ust. 1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6E915BAB" w14:textId="3B7085DA" w:rsidR="00C44F3E" w:rsidRP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„</w:t>
      </w:r>
      <w:r w:rsidRPr="00C44F3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Udzielenie i obsługa kredytu długoterminowego na sfinansowanie planowanego na 2022 rok deficytu budżetu”</w:t>
      </w:r>
    </w:p>
    <w:p w14:paraId="393F342E" w14:textId="77777777" w:rsidR="00C44F3E" w:rsidRPr="00C44F3E" w:rsidRDefault="00C44F3E" w:rsidP="00C44F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14:paraId="48C18D7F" w14:textId="041D249C" w:rsidR="00C44F3E" w:rsidRP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445E113C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B47FA1B" w14:textId="77777777" w:rsidR="006467EA" w:rsidRDefault="006467EA" w:rsidP="006467EA">
      <w:pPr>
        <w:pStyle w:val="Akapitzlist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1DF7EBF0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4405167B" w:rsidR="00C44F3E" w:rsidRPr="0016369B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Dla jednostkowego obliczania ceny oferty należy przyjąć stawkę referencyjną WIBOR 3M na dzień 27.06.2022r.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lastRenderedPageBreak/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5665714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0CB71AC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678A9B9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04FB7427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p w14:paraId="3DA3B3F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C3CD71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55154415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BE1BD9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E32E2C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BAC115A" w14:textId="2C9EAE7C" w:rsidR="004C38D2" w:rsidRPr="00C44F3E" w:rsidRDefault="004C38D2" w:rsidP="00C4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ar-SA"/>
        </w:rPr>
      </w:pPr>
    </w:p>
    <w:sectPr w:rsidR="004C38D2" w:rsidRPr="00C4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16369B"/>
    <w:rsid w:val="004C38D2"/>
    <w:rsid w:val="006467EA"/>
    <w:rsid w:val="00C4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2022-06-23T06:37:00Z</dcterms:created>
  <dcterms:modified xsi:type="dcterms:W3CDTF">2022-06-23T08:00:00Z</dcterms:modified>
</cp:coreProperties>
</file>