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E5" w:rsidRDefault="00C82989">
      <w:pPr>
        <w:spacing w:after="0" w:line="259" w:lineRule="auto"/>
        <w:ind w:left="1486" w:right="0" w:firstLine="0"/>
        <w:jc w:val="left"/>
      </w:pPr>
      <w:r>
        <w:rPr>
          <w:rFonts w:ascii="Times New Roman" w:eastAsia="Times New Roman" w:hAnsi="Times New Roman" w:cs="Times New Roman"/>
          <w:b/>
          <w:color w:val="0000FF"/>
          <w:sz w:val="40"/>
        </w:rPr>
        <w:t>USŁUGI PROJEKTOWE DROGOWE</w:t>
      </w:r>
      <w:r>
        <w:rPr>
          <w:rFonts w:ascii="Cambria" w:eastAsia="Cambria" w:hAnsi="Cambria" w:cs="Cambria"/>
          <w:color w:val="0000FF"/>
          <w:sz w:val="32"/>
        </w:rPr>
        <w:t xml:space="preserve"> </w:t>
      </w:r>
    </w:p>
    <w:p w:rsidR="004B13E5" w:rsidRDefault="00C82989">
      <w:pPr>
        <w:spacing w:after="0" w:line="259" w:lineRule="auto"/>
        <w:ind w:right="132"/>
        <w:jc w:val="center"/>
      </w:pPr>
      <w:r>
        <w:rPr>
          <w:rFonts w:ascii="Times New Roman" w:eastAsia="Times New Roman" w:hAnsi="Times New Roman" w:cs="Times New Roman"/>
        </w:rPr>
        <w:t>inż. Franciszek Rytwiński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13E5" w:rsidRDefault="00C82989">
      <w:pPr>
        <w:spacing w:after="0" w:line="259" w:lineRule="auto"/>
        <w:ind w:right="133"/>
        <w:jc w:val="center"/>
      </w:pPr>
      <w:r>
        <w:rPr>
          <w:rFonts w:ascii="Times New Roman" w:eastAsia="Times New Roman" w:hAnsi="Times New Roman" w:cs="Times New Roman"/>
        </w:rPr>
        <w:t xml:space="preserve">tel.FR- 601-86-87-78; DT-604-445-615 </w:t>
      </w:r>
    </w:p>
    <w:p w:rsidR="004B13E5" w:rsidRDefault="00C82989">
      <w:pPr>
        <w:spacing w:after="0" w:line="238" w:lineRule="auto"/>
        <w:ind w:left="3332" w:right="2064" w:hanging="828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 xml:space="preserve">ul. Gen. Władysława Andersa 42, 09-410 </w:t>
      </w:r>
      <w:r>
        <w:rPr>
          <w:rFonts w:ascii="Times New Roman" w:eastAsia="Times New Roman" w:hAnsi="Times New Roman" w:cs="Times New Roman"/>
          <w:b/>
          <w:u w:val="single" w:color="000000"/>
        </w:rPr>
        <w:t>Płock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e:mail rondofr@poczta.onet.pl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4B13E5" w:rsidRDefault="00C82989">
      <w:pPr>
        <w:spacing w:after="122" w:line="259" w:lineRule="auto"/>
        <w:ind w:left="0" w:right="2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13E5" w:rsidRDefault="00C82989">
      <w:pPr>
        <w:pStyle w:val="Nagwek1"/>
      </w:pPr>
      <w:r>
        <w:rPr>
          <w:b/>
        </w:rPr>
        <w:t xml:space="preserve">MATERIAŁY DO ZGŁOSZENIA </w:t>
      </w:r>
      <w:r>
        <w:t xml:space="preserve">PRZEBUDOWA DROGI WEWNĘTRZNEJ </w:t>
      </w:r>
    </w:p>
    <w:p w:rsidR="004B13E5" w:rsidRDefault="00C82989">
      <w:pPr>
        <w:spacing w:after="0" w:line="261" w:lineRule="auto"/>
        <w:ind w:left="437" w:right="307" w:hanging="2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działka nr:  38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(obręb Suserz) w miejsc. Suserz, gm. Szczawin Kościelny,  pow. gostyniński, woj. mazowieckie  łączna długość odcinków dróg 0,881 km </w:t>
      </w:r>
    </w:p>
    <w:p w:rsidR="004B13E5" w:rsidRDefault="00C82989">
      <w:pPr>
        <w:spacing w:after="20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4B13E5" w:rsidRDefault="00C82989">
      <w:pPr>
        <w:spacing w:after="0" w:line="259" w:lineRule="auto"/>
        <w:ind w:left="703"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Inwestor:  Wójt Gminy Szczawin Kościelny </w:t>
      </w:r>
    </w:p>
    <w:p w:rsidR="004B13E5" w:rsidRDefault="00C82989">
      <w:pPr>
        <w:tabs>
          <w:tab w:val="center" w:pos="708"/>
          <w:tab w:val="center" w:pos="456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ul. Jana Pawła II 10, 09-550 Szczawin Kościelny </w:t>
      </w:r>
    </w:p>
    <w:p w:rsidR="004B13E5" w:rsidRDefault="00C82989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4B13E5" w:rsidRDefault="00C8298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82" w:type="dxa"/>
        <w:tblInd w:w="-70" w:type="dxa"/>
        <w:tblCellMar>
          <w:top w:w="11" w:type="dxa"/>
          <w:left w:w="41" w:type="dxa"/>
          <w:right w:w="82" w:type="dxa"/>
        </w:tblCellMar>
        <w:tblLook w:val="04A0" w:firstRow="1" w:lastRow="0" w:firstColumn="1" w:lastColumn="0" w:noHBand="0" w:noVBand="1"/>
      </w:tblPr>
      <w:tblGrid>
        <w:gridCol w:w="778"/>
        <w:gridCol w:w="6480"/>
        <w:gridCol w:w="1162"/>
        <w:gridCol w:w="1162"/>
      </w:tblGrid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3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ZAWARTOŚĆ OPRACOWANIA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3" w:right="0" w:firstLine="0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strona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38" w:right="0" w:firstLine="0"/>
              <w:jc w:val="center"/>
            </w:pPr>
            <w:r>
              <w:t xml:space="preserve">nr rys.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1.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Część opisowa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39" w:right="0" w:firstLine="0"/>
              <w:jc w:val="center"/>
            </w:pPr>
            <w:r>
              <w:t xml:space="preserve">2-8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2.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0" w:firstLine="0"/>
              <w:jc w:val="left"/>
            </w:pPr>
            <w:r>
              <w:t xml:space="preserve">Uzgodnienie z Orange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9-12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B13E5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90" w:right="0" w:firstLine="0"/>
              <w:jc w:val="center"/>
            </w:pPr>
            <w: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 xml:space="preserve">RYSUNKI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3.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Orientacja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13-13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4.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Plan sytuacyjny 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14-15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2.0/1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5.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Przekroje normalne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16-16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0" w:right="0" w:firstLine="0"/>
              <w:jc w:val="center"/>
            </w:pPr>
            <w:r>
              <w:t xml:space="preserve">3.0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6.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Profil podłużny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17-17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0" w:right="0" w:firstLine="0"/>
              <w:jc w:val="center"/>
            </w:pPr>
            <w:r>
              <w:t xml:space="preserve">4.0 </w:t>
            </w:r>
          </w:p>
        </w:tc>
      </w:tr>
      <w:tr w:rsidR="004B13E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0" w:right="65" w:firstLine="0"/>
              <w:jc w:val="right"/>
            </w:pPr>
            <w:r>
              <w:t xml:space="preserve">7.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t xml:space="preserve">Oryginalna mapa do celów projektowych (w egz. nr 1)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43" w:right="0" w:firstLine="0"/>
              <w:jc w:val="center"/>
            </w:pPr>
            <w:r>
              <w:t xml:space="preserve">18-19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 w:rsidR="004B13E5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29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9" w:right="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E5" w:rsidRDefault="00C82989">
            <w:pPr>
              <w:spacing w:after="0" w:line="259" w:lineRule="auto"/>
              <w:ind w:left="108" w:right="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</w:tbl>
    <w:p w:rsidR="004B13E5" w:rsidRDefault="00C8298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4B13E5" w:rsidRDefault="00C8298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4B13E5" w:rsidRDefault="00C82989">
      <w:pPr>
        <w:spacing w:after="3" w:line="259" w:lineRule="auto"/>
        <w:ind w:left="718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Projektant: inż. Franciszek Rytwiński upr. drog 148/88 </w:t>
      </w:r>
    </w:p>
    <w:p w:rsidR="004B13E5" w:rsidRDefault="00C82989">
      <w:pPr>
        <w:tabs>
          <w:tab w:val="center" w:pos="1237"/>
          <w:tab w:val="center" w:pos="3780"/>
        </w:tabs>
        <w:spacing w:after="3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Asystent: </w:t>
      </w:r>
      <w:r>
        <w:rPr>
          <w:rFonts w:ascii="Times New Roman" w:eastAsia="Times New Roman" w:hAnsi="Times New Roman" w:cs="Times New Roman"/>
          <w:sz w:val="28"/>
        </w:rPr>
        <w:tab/>
        <w:t xml:space="preserve">mgr inż. Tomasz Dudkiewicz </w:t>
      </w:r>
    </w:p>
    <w:p w:rsidR="004B13E5" w:rsidRDefault="00C82989">
      <w:pPr>
        <w:spacing w:after="2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4B13E5" w:rsidRDefault="00C8298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13E5" w:rsidRDefault="00C8298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13E5" w:rsidRDefault="00C8298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13E5" w:rsidRDefault="00C82989">
      <w:pPr>
        <w:pStyle w:val="Nagwek2"/>
      </w:pPr>
      <w:r>
        <w:t xml:space="preserve">Egz. nr 1, 2, 3, 4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113" w:line="259" w:lineRule="auto"/>
        <w:ind w:left="1414" w:righ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B13E5" w:rsidRDefault="00C82989">
      <w:pPr>
        <w:spacing w:after="0" w:line="259" w:lineRule="auto"/>
        <w:ind w:left="0" w:right="364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Płock 2018 </w:t>
      </w:r>
    </w:p>
    <w:p w:rsidR="004B13E5" w:rsidRDefault="00C82989">
      <w:pPr>
        <w:spacing w:after="0" w:line="259" w:lineRule="auto"/>
        <w:ind w:left="0" w:right="0" w:firstLine="0"/>
        <w:jc w:val="left"/>
      </w:pPr>
      <w:r>
        <w:rPr>
          <w:color w:val="FF0000"/>
          <w:sz w:val="28"/>
        </w:rPr>
        <w:lastRenderedPageBreak/>
        <w:t xml:space="preserve"> </w:t>
      </w:r>
    </w:p>
    <w:p w:rsidR="004B13E5" w:rsidRDefault="00C82989">
      <w:pPr>
        <w:spacing w:after="0" w:line="259" w:lineRule="auto"/>
        <w:ind w:left="0" w:right="82" w:firstLine="0"/>
        <w:jc w:val="center"/>
      </w:pPr>
      <w:r>
        <w:rPr>
          <w:b/>
          <w:sz w:val="28"/>
        </w:rPr>
        <w:t xml:space="preserve">- CZĘŚĆ OPISOWA -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3E5" w:rsidRDefault="00C82989">
      <w:pPr>
        <w:pStyle w:val="Nagwek3"/>
        <w:ind w:left="-5"/>
      </w:pPr>
      <w:r>
        <w:t xml:space="preserve">1. PODSTAWA OPRACOWANIA </w:t>
      </w:r>
    </w:p>
    <w:p w:rsidR="004B13E5" w:rsidRDefault="00C82989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4B13E5" w:rsidRDefault="00C82989">
      <w:pPr>
        <w:spacing w:after="41"/>
        <w:ind w:left="540" w:right="74" w:hanging="540"/>
      </w:pPr>
      <w:r>
        <w:t xml:space="preserve">1.1. Mapa zasadnicza, sytuacyjno-wysokościowa z uzbrojeniem podziemnym w skali  1:500, aktualna do celów projektowych </w:t>
      </w:r>
    </w:p>
    <w:p w:rsidR="004B13E5" w:rsidRDefault="00C82989">
      <w:pPr>
        <w:spacing w:after="19" w:line="295" w:lineRule="auto"/>
        <w:ind w:left="535" w:right="0" w:hanging="550"/>
        <w:jc w:val="left"/>
      </w:pPr>
      <w:r>
        <w:t xml:space="preserve">1.2. Rozporządzenie Ministra Transportu i Gospodarki Morskiej z dnia 02.03.1999r. w sprawie warunków technicznych, jakim powinny odpowiadać drogi publiczne i ich usytuowanie (Dz. U. nr 43 poz. 430 z 1999r. z późniejszymi zmianami). </w:t>
      </w:r>
    </w:p>
    <w:p w:rsidR="004B13E5" w:rsidRDefault="00C82989">
      <w:pPr>
        <w:ind w:right="74"/>
      </w:pPr>
      <w:r>
        <w:t xml:space="preserve">1.3. Katalog Typowych Konstrukcji Podatnych i Półsztywnych Nawierzchni Ulic –  </w:t>
      </w:r>
    </w:p>
    <w:p w:rsidR="004B13E5" w:rsidRDefault="00C82989">
      <w:pPr>
        <w:spacing w:after="48"/>
        <w:ind w:left="0" w:right="74" w:hanging="180"/>
      </w:pPr>
      <w:r>
        <w:t xml:space="preserve">          Ministerstwo Transportu i  Gospodarki Morskiej  - Generalna Dyrekcja Dróg         Publicznych – Warszawa 1990r. </w:t>
      </w:r>
    </w:p>
    <w:p w:rsidR="004B13E5" w:rsidRDefault="00C82989">
      <w:pPr>
        <w:spacing w:after="30"/>
        <w:ind w:right="74"/>
      </w:pPr>
      <w:r>
        <w:t xml:space="preserve">1.4. Uzgodnienia branżowe. </w:t>
      </w:r>
    </w:p>
    <w:p w:rsidR="004B13E5" w:rsidRDefault="00C82989">
      <w:pPr>
        <w:ind w:right="74"/>
      </w:pPr>
      <w:r>
        <w:t xml:space="preserve">1.5. Obowiązujące przepisy i normy.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pStyle w:val="Nagwek3"/>
        <w:ind w:left="-5"/>
      </w:pPr>
      <w:r>
        <w:t>2.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 PRZEDMIOT INWESTYCJI </w:t>
      </w:r>
    </w:p>
    <w:p w:rsidR="004B13E5" w:rsidRDefault="00C82989">
      <w:pPr>
        <w:spacing w:after="24" w:line="259" w:lineRule="auto"/>
        <w:ind w:left="1560" w:right="0" w:firstLine="0"/>
        <w:jc w:val="left"/>
      </w:pPr>
      <w:r>
        <w:t xml:space="preserve"> </w:t>
      </w:r>
    </w:p>
    <w:p w:rsidR="004B13E5" w:rsidRDefault="00C82989">
      <w:pPr>
        <w:spacing w:after="31"/>
        <w:ind w:left="0" w:right="74" w:firstLine="708"/>
      </w:pPr>
      <w:r>
        <w:t xml:space="preserve">Celem niniejszego opracowania jest przebudowa drogi wewnętrznej w miejsc. Suserz, gm. Szczawin Kościelny o łącznej długości 881 m. </w:t>
      </w:r>
    </w:p>
    <w:p w:rsidR="004B13E5" w:rsidRDefault="00C82989">
      <w:pPr>
        <w:spacing w:after="59" w:line="259" w:lineRule="auto"/>
        <w:ind w:left="427" w:right="0" w:firstLine="0"/>
        <w:jc w:val="left"/>
      </w:pPr>
      <w:r>
        <w:t xml:space="preserve"> </w:t>
      </w:r>
    </w:p>
    <w:p w:rsidR="004B13E5" w:rsidRDefault="00C82989">
      <w:pPr>
        <w:pStyle w:val="Nagwek3"/>
        <w:ind w:left="-5"/>
      </w:pPr>
      <w:r>
        <w:rPr>
          <w:b w:val="0"/>
          <w:sz w:val="20"/>
        </w:rPr>
        <w:t xml:space="preserve"> </w:t>
      </w:r>
      <w:r>
        <w:t>3.</w:t>
      </w:r>
      <w:r>
        <w:rPr>
          <w:rFonts w:ascii="Cambria" w:eastAsia="Cambria" w:hAnsi="Cambria" w:cs="Cambria"/>
          <w:b w:val="0"/>
        </w:rPr>
        <w:t xml:space="preserve"> </w:t>
      </w:r>
      <w:r>
        <w:t xml:space="preserve">ISTNIEJĄCY STAN ZAGOSPODAROWANIA TERENU </w:t>
      </w:r>
    </w:p>
    <w:p w:rsidR="004B13E5" w:rsidRDefault="00C82989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3E5" w:rsidRDefault="00C82989">
      <w:pPr>
        <w:spacing w:after="33"/>
        <w:ind w:left="0" w:right="74" w:firstLine="360"/>
      </w:pPr>
      <w:r>
        <w:t xml:space="preserve">Teren objęty opracowaniem zlokalizowany jest w obszarze terenów rolnych i zabudowy zagrodowej. Droga ma znaczenie lokalne i umożliwiają dojazd do przyległych posesji. </w:t>
      </w:r>
    </w:p>
    <w:p w:rsidR="004B13E5" w:rsidRDefault="00C82989">
      <w:pPr>
        <w:spacing w:after="44"/>
        <w:ind w:left="0" w:right="74" w:firstLine="360"/>
      </w:pPr>
      <w:r>
        <w:t>Droga wewnętrzna o nawierzchni tłuczniowej, posiada ukształtowany przebieg tak w planie jak i w profilu.</w:t>
      </w:r>
      <w:r>
        <w:rPr>
          <w:color w:val="FF0000"/>
        </w:rPr>
        <w:t xml:space="preserve"> </w:t>
      </w:r>
      <w:r>
        <w:t>Korony drogi nie wchodzi w kolizję z gruntami prywatnymi, mieści się w granicach pasa drogowego. Granica pasa drogowego biegnie po granicach działek przyległych do drogi, szerokość pasa drogowego wynosi od około 10m do 12m. Teren inwestycji pochyły o rzędnej około 105.30 m npm do około 110.00 m npm, droga lekko wyniesiona nad teren.</w:t>
      </w:r>
      <w:r>
        <w:rPr>
          <w:b/>
          <w:color w:val="FF0000"/>
        </w:rPr>
        <w:t xml:space="preserve"> </w:t>
      </w:r>
      <w:r>
        <w:t>Odwodnienie drogi odbywa się powierzchniowo na przyległy teren (w granicach pasa drogowego), częściowo do istniejących rowów przydrożnych. Na całym obszarze drzewa i krzewy na granicy pasa drogowego. Droga połączona jest z działkami sąsiednimi za pomocą istniejących zjazdów żwirowych szerokości 4m.</w:t>
      </w:r>
      <w:r>
        <w:rPr>
          <w:color w:val="FF0000"/>
        </w:rPr>
        <w:t xml:space="preserve"> </w:t>
      </w:r>
    </w:p>
    <w:p w:rsidR="004B13E5" w:rsidRDefault="00C82989">
      <w:pPr>
        <w:spacing w:after="38"/>
        <w:ind w:left="355" w:right="74"/>
      </w:pPr>
      <w:r>
        <w:t xml:space="preserve">Istniejące uzbrojenie: </w:t>
      </w:r>
    </w:p>
    <w:p w:rsidR="004B13E5" w:rsidRDefault="00C82989">
      <w:pPr>
        <w:numPr>
          <w:ilvl w:val="0"/>
          <w:numId w:val="1"/>
        </w:numPr>
        <w:spacing w:after="35"/>
        <w:ind w:right="74" w:hanging="348"/>
      </w:pPr>
      <w:r>
        <w:t xml:space="preserve">sieć energetyczna, na terenach prywatnych poza pasem drogowym, z poprzecznymi przejściami nad projektowaną drogą, </w:t>
      </w:r>
    </w:p>
    <w:p w:rsidR="004B13E5" w:rsidRDefault="00C82989">
      <w:pPr>
        <w:numPr>
          <w:ilvl w:val="0"/>
          <w:numId w:val="1"/>
        </w:numPr>
        <w:spacing w:after="59"/>
        <w:ind w:right="74" w:hanging="348"/>
      </w:pPr>
      <w:r>
        <w:t xml:space="preserve">wodociąg gminny, na terenach prywatnych poza pasem drogowym, z poprzecznym przejściem pod projektowaną drogą, </w:t>
      </w:r>
    </w:p>
    <w:p w:rsidR="004B13E5" w:rsidRDefault="00C82989">
      <w:pPr>
        <w:numPr>
          <w:ilvl w:val="0"/>
          <w:numId w:val="1"/>
        </w:numPr>
        <w:ind w:right="74" w:hanging="348"/>
      </w:pPr>
      <w:r>
        <w:t xml:space="preserve">sieć telekomunikacyjna, na terenach prywatnych poza pasem drogowym, z poprzecznym przejściem pod projektowaną drogą, w trakcie realizacji uwzględnić zalecenia właściciela sieci.  </w:t>
      </w:r>
    </w:p>
    <w:p w:rsidR="004B13E5" w:rsidRDefault="00C82989">
      <w:pPr>
        <w:spacing w:after="21" w:line="259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19" w:line="259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19" w:line="259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0" w:line="259" w:lineRule="auto"/>
        <w:ind w:left="720" w:right="0" w:firstLine="0"/>
        <w:jc w:val="left"/>
      </w:pPr>
      <w:r>
        <w:rPr>
          <w:color w:val="FF0000"/>
        </w:rPr>
        <w:lastRenderedPageBreak/>
        <w:t xml:space="preserve"> </w:t>
      </w:r>
    </w:p>
    <w:p w:rsidR="004B13E5" w:rsidRDefault="00C82989">
      <w:pPr>
        <w:pStyle w:val="Nagwek3"/>
        <w:ind w:left="-5"/>
      </w:pPr>
      <w:r>
        <w:t xml:space="preserve">4. PROJEKTOWANE  ZAGOSPODAROWANIE TERENU  </w:t>
      </w:r>
    </w:p>
    <w:p w:rsidR="004B13E5" w:rsidRDefault="00C82989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3E5" w:rsidRDefault="00C82989">
      <w:pPr>
        <w:pStyle w:val="Nagwek4"/>
        <w:ind w:left="-5"/>
      </w:pPr>
      <w:r>
        <w:t xml:space="preserve">4.1. Dane wyjściowe </w:t>
      </w:r>
    </w:p>
    <w:p w:rsidR="004B13E5" w:rsidRDefault="00C82989">
      <w:pPr>
        <w:spacing w:after="64"/>
        <w:ind w:left="355" w:right="74"/>
      </w:pPr>
      <w:r>
        <w:t xml:space="preserve">Parametry do projektowania drogi wewnętrznej: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droga wewnętrzna,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długość projektowanej drogi 881m,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szerokość jezdni 3,5m,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kategoria ruchu KR1, ruch  lekki,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szerokość poboczy 0,75m (w granicach pasa drogowego),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ilość jezdni 1 oraz ilość pasów ruchu 2, </w:t>
      </w:r>
    </w:p>
    <w:p w:rsidR="004B13E5" w:rsidRDefault="00C82989">
      <w:pPr>
        <w:numPr>
          <w:ilvl w:val="0"/>
          <w:numId w:val="2"/>
        </w:numPr>
        <w:ind w:right="74" w:hanging="348"/>
      </w:pPr>
      <w:r>
        <w:t xml:space="preserve">prędkość projektowa 40 km/h, </w:t>
      </w:r>
    </w:p>
    <w:p w:rsidR="004B13E5" w:rsidRDefault="00C82989">
      <w:pPr>
        <w:numPr>
          <w:ilvl w:val="0"/>
          <w:numId w:val="2"/>
        </w:numPr>
        <w:spacing w:after="42"/>
        <w:ind w:right="74" w:hanging="348"/>
      </w:pPr>
      <w:r>
        <w:t xml:space="preserve">szerokość pasa drogowego w granicach istniejących działek drogowych do 12m. Na całym obszarze drzewa i krzewy na granicy pasa drogowego. </w:t>
      </w:r>
    </w:p>
    <w:p w:rsidR="004B13E5" w:rsidRDefault="00C82989">
      <w:pPr>
        <w:spacing w:after="30"/>
        <w:ind w:left="0" w:right="74" w:firstLine="360"/>
      </w:pPr>
      <w:r>
        <w:t xml:space="preserve">Projektowana droga mieści się w granicach pasa drogowego, nie ma konieczności dodzielania gruntów. Teren objęty opracowaniem stanowi własność Gminy Szczawin Kościelny (dz. nr 38 i 217). </w:t>
      </w:r>
    </w:p>
    <w:p w:rsidR="004B13E5" w:rsidRDefault="00C82989">
      <w:pPr>
        <w:spacing w:after="6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pStyle w:val="Nagwek4"/>
        <w:ind w:left="-5"/>
      </w:pPr>
      <w:r>
        <w:t xml:space="preserve">4.2. Zakres robót </w:t>
      </w:r>
    </w:p>
    <w:p w:rsidR="004B13E5" w:rsidRDefault="00C82989">
      <w:pPr>
        <w:spacing w:after="30"/>
        <w:ind w:left="653" w:right="74"/>
      </w:pPr>
      <w:r>
        <w:t xml:space="preserve">Opracowanie obejmuje: </w:t>
      </w:r>
    </w:p>
    <w:p w:rsidR="004B13E5" w:rsidRDefault="00C82989">
      <w:pPr>
        <w:numPr>
          <w:ilvl w:val="0"/>
          <w:numId w:val="3"/>
        </w:numPr>
        <w:ind w:right="74" w:hanging="348"/>
      </w:pPr>
      <w:r>
        <w:t xml:space="preserve">wykonanie drogi o nawierzchni bitumicznej o dł. 881m  i szer. 3,5m,  </w:t>
      </w:r>
    </w:p>
    <w:p w:rsidR="004B13E5" w:rsidRDefault="00C82989">
      <w:pPr>
        <w:numPr>
          <w:ilvl w:val="0"/>
          <w:numId w:val="3"/>
        </w:numPr>
        <w:spacing w:after="45"/>
        <w:ind w:right="74" w:hanging="348"/>
      </w:pPr>
      <w:r>
        <w:t xml:space="preserve">wykonanie poboczy tłuczniowych, utwardzonych o szer. 0,75m po obydwu stronach drogi, w granicach pasa drogowego, </w:t>
      </w:r>
    </w:p>
    <w:p w:rsidR="004B13E5" w:rsidRDefault="00C82989">
      <w:pPr>
        <w:numPr>
          <w:ilvl w:val="0"/>
          <w:numId w:val="3"/>
        </w:numPr>
        <w:ind w:right="74" w:hanging="348"/>
      </w:pPr>
      <w:r>
        <w:t xml:space="preserve">zabezpieczenie kolidującej sieci telekomunikacyjnej rurą ochronną.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4B13E5" w:rsidRDefault="00C82989">
      <w:pPr>
        <w:pStyle w:val="Nagwek4"/>
        <w:ind w:left="-5"/>
      </w:pPr>
      <w:r>
        <w:t xml:space="preserve">4.3. Przebieg w planie i profilu </w:t>
      </w:r>
    </w:p>
    <w:p w:rsidR="004B13E5" w:rsidRDefault="00C82989">
      <w:pPr>
        <w:ind w:left="0" w:right="74" w:firstLine="360"/>
      </w:pPr>
      <w:r>
        <w:t xml:space="preserve">Zamierzenie budowlane polegające na przebudowie dogi wewnętrznej w miejsc. Suserz  składa się z jednego odcinka: </w:t>
      </w:r>
    </w:p>
    <w:p w:rsidR="004B13E5" w:rsidRDefault="00C82989">
      <w:pPr>
        <w:numPr>
          <w:ilvl w:val="0"/>
          <w:numId w:val="4"/>
        </w:numPr>
        <w:ind w:right="74" w:hanging="348"/>
      </w:pPr>
      <w:r>
        <w:t xml:space="preserve">km od 0+000 do 0+881, droga o projektowanej nawierzchni bitumicznej o szer. 3,5m, </w:t>
      </w:r>
    </w:p>
    <w:p w:rsidR="004B13E5" w:rsidRDefault="00C82989">
      <w:pPr>
        <w:spacing w:after="19" w:line="295" w:lineRule="auto"/>
        <w:ind w:left="-15" w:right="0" w:firstLine="360"/>
        <w:jc w:val="left"/>
      </w:pPr>
      <w:r>
        <w:t xml:space="preserve">Przebieg projektowanej drogi został dopasowany do istniejących granic pasa drogowego. Składają się z krótki odcinków prostych i łuków poziomych, wpisanych w istniejący pas drogowy. Szczegóły pokazano na planie sytuacyjnym - rys. 2.0.  </w:t>
      </w:r>
    </w:p>
    <w:p w:rsidR="004B13E5" w:rsidRDefault="00C82989">
      <w:pPr>
        <w:spacing w:after="32"/>
        <w:ind w:left="0" w:right="74" w:firstLine="360"/>
      </w:pPr>
      <w:r>
        <w:t xml:space="preserve">Niweleta drogi po istniejącym terenie z niezbędnym wyniesieniem dla wykonania konstrukcji i nadania odpowiednich spadków.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65"/>
        <w:ind w:left="180" w:right="5147" w:hanging="180"/>
      </w:pPr>
      <w:r>
        <w:rPr>
          <w:b/>
        </w:rPr>
        <w:t xml:space="preserve">4.4. Konstrukcja nawierzchni  </w:t>
      </w:r>
      <w:r>
        <w:t xml:space="preserve">Konstrukcja  nawierzchni jezdni drogi: </w:t>
      </w:r>
    </w:p>
    <w:p w:rsidR="004B13E5" w:rsidRDefault="00C82989">
      <w:pPr>
        <w:numPr>
          <w:ilvl w:val="0"/>
          <w:numId w:val="4"/>
        </w:numPr>
        <w:ind w:right="74" w:hanging="348"/>
      </w:pPr>
      <w:r>
        <w:t xml:space="preserve">warstwa ścieralna z betonu asfaltowego AC22S 50/70 gr. 5cm, </w:t>
      </w:r>
    </w:p>
    <w:p w:rsidR="004B13E5" w:rsidRDefault="00C82989">
      <w:pPr>
        <w:numPr>
          <w:ilvl w:val="0"/>
          <w:numId w:val="4"/>
        </w:numPr>
        <w:ind w:right="74" w:hanging="348"/>
      </w:pPr>
      <w:r>
        <w:t xml:space="preserve">podbudowa z kruszywa łamanego 0/22mm, stabilizowanego mechanicznie gr. 5cm, </w:t>
      </w:r>
    </w:p>
    <w:p w:rsidR="004B13E5" w:rsidRDefault="00C82989">
      <w:pPr>
        <w:numPr>
          <w:ilvl w:val="0"/>
          <w:numId w:val="4"/>
        </w:numPr>
        <w:ind w:right="74" w:hanging="348"/>
      </w:pPr>
      <w:r>
        <w:t xml:space="preserve">istniejąca nawierzchnia tłuczniowa gr. 15cm, </w:t>
      </w:r>
      <w:r>
        <w:rPr>
          <w:rFonts w:ascii="Segoe UI Symbol" w:eastAsia="Segoe UI Symbol" w:hAnsi="Segoe UI Symbol" w:cs="Segoe UI Symbol"/>
        </w:rPr>
        <w:t></w:t>
      </w:r>
      <w:r>
        <w:t xml:space="preserve"> pochylenie poprzeczne dwustronne 2%. </w:t>
      </w:r>
    </w:p>
    <w:p w:rsidR="004B13E5" w:rsidRDefault="00C82989">
      <w:pPr>
        <w:numPr>
          <w:ilvl w:val="0"/>
          <w:numId w:val="4"/>
        </w:numPr>
        <w:ind w:right="74" w:hanging="348"/>
      </w:pPr>
      <w:r>
        <w:t xml:space="preserve">pobocza tłuczniowe, utwardzone gr. 5cm. </w:t>
      </w:r>
    </w:p>
    <w:p w:rsidR="004B13E5" w:rsidRDefault="00C82989">
      <w:pPr>
        <w:spacing w:after="19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19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19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spacing w:after="21" w:line="259" w:lineRule="auto"/>
        <w:ind w:left="283" w:right="0" w:firstLine="0"/>
        <w:jc w:val="left"/>
      </w:pPr>
      <w:r>
        <w:rPr>
          <w:color w:val="FF0000"/>
        </w:rPr>
        <w:lastRenderedPageBreak/>
        <w:t xml:space="preserve"> </w:t>
      </w:r>
    </w:p>
    <w:p w:rsidR="004B13E5" w:rsidRDefault="00C82989">
      <w:pPr>
        <w:spacing w:after="0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pStyle w:val="Nagwek4"/>
        <w:ind w:left="-5"/>
      </w:pPr>
      <w:r>
        <w:t xml:space="preserve">4.5. Odwodnienie </w:t>
      </w:r>
    </w:p>
    <w:p w:rsidR="004B13E5" w:rsidRDefault="00C82989">
      <w:pPr>
        <w:spacing w:after="29"/>
        <w:ind w:left="0" w:right="74" w:firstLine="283"/>
      </w:pPr>
      <w:r>
        <w:t xml:space="preserve">Odwodnienie projektowanej drogi odbywać się będzie za pomocą spadków podłużnych i poprzecznych powierzchniowo na pobocza drogi a następnie do istniejących rowów w granicach pasa drogowego (działki drogowe) bez spływu na działki sąsiednie, a następnie przez wsiąkanie i odparowanie. 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4B13E5" w:rsidRDefault="00C82989">
      <w:pPr>
        <w:pStyle w:val="Nagwek4"/>
        <w:spacing w:after="61"/>
        <w:ind w:left="-5"/>
      </w:pPr>
      <w:r>
        <w:t xml:space="preserve">4.6. Opinia  geotechniczna </w:t>
      </w:r>
    </w:p>
    <w:p w:rsidR="004B13E5" w:rsidRDefault="00C82989">
      <w:pPr>
        <w:spacing w:after="31"/>
        <w:ind w:right="74"/>
      </w:pPr>
      <w:r>
        <w:t xml:space="preserve"> Zgodnie z rozporządzeniem MT,BiGM z dnia 25.04.2012r w sprawie ustalenia geotechnicznych posadowienia obiektów budowlanych, grupa nośności G1 są to warunki gruntowe proste, grunty jednorodne genetycznie i litolicznie, nie występują wykopy ani nasypy, brak przeciwwskazań dla wykonania podbudowy bezpośrednio na gruncie, bez wzmacniania podłoża lub stosowania warstw odsączających. </w:t>
      </w:r>
    </w:p>
    <w:p w:rsidR="004B13E5" w:rsidRDefault="00C82989">
      <w:pPr>
        <w:spacing w:after="31"/>
        <w:ind w:left="0" w:right="74" w:firstLine="425"/>
      </w:pPr>
      <w:r>
        <w:t>Na podstawie wizji w terenie i badań gruntowych makroskopowych, zgodnie z rozporządzeniem MT,BiGM §4.1,p-t 3.1c, oraz p-t 4 i  §6.1.2, grunty zaliczono do pierwszej kategorii geotechnicznej – poziom posadowienia  nawierzchni powyżej poziomu wód gruntowych, bez występowania nasypów i wykopów. Dla obiektów budowlanych pierwszej kategorii geotechnicznej (drogi), zakres badań geotechnicznych jest wystarczający na podstawie badań makroskopowych, piaski drobne i średnie szare, I</w:t>
      </w:r>
      <w:r>
        <w:rPr>
          <w:sz w:val="16"/>
        </w:rPr>
        <w:t>D</w:t>
      </w:r>
      <w:r>
        <w:t xml:space="preserve">-0,4, wymagają dogęszczenia </w:t>
      </w:r>
    </w:p>
    <w:p w:rsidR="004B13E5" w:rsidRDefault="00C82989">
      <w:pPr>
        <w:ind w:left="718" w:right="74"/>
      </w:pPr>
      <w:r>
        <w:t xml:space="preserve">Poziom wód gruntowych ponad 1,0m ppt.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3E5" w:rsidRDefault="00C82989">
      <w:pPr>
        <w:pStyle w:val="Nagwek3"/>
        <w:ind w:left="-5"/>
      </w:pPr>
      <w:r>
        <w:t xml:space="preserve">5. ZESTAWIENIE POWIERZCHNI </w:t>
      </w:r>
    </w:p>
    <w:p w:rsidR="004B13E5" w:rsidRDefault="00C82989">
      <w:pPr>
        <w:spacing w:after="54" w:line="259" w:lineRule="auto"/>
        <w:ind w:left="283" w:right="0" w:firstLine="0"/>
        <w:jc w:val="left"/>
      </w:pPr>
      <w:r>
        <w:rPr>
          <w:b/>
          <w:color w:val="FF0000"/>
        </w:rPr>
        <w:t xml:space="preserve"> </w:t>
      </w:r>
    </w:p>
    <w:p w:rsidR="004B13E5" w:rsidRDefault="00C82989">
      <w:pPr>
        <w:numPr>
          <w:ilvl w:val="0"/>
          <w:numId w:val="5"/>
        </w:numPr>
        <w:ind w:right="74" w:hanging="360"/>
      </w:pPr>
      <w:r>
        <w:t xml:space="preserve">Długość drogi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881 m, </w:t>
      </w:r>
    </w:p>
    <w:p w:rsidR="004B13E5" w:rsidRDefault="00C82989">
      <w:pPr>
        <w:numPr>
          <w:ilvl w:val="0"/>
          <w:numId w:val="5"/>
        </w:numPr>
        <w:ind w:right="74" w:hanging="360"/>
      </w:pPr>
      <w:r>
        <w:t xml:space="preserve">Powierzchnia drogi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około 3,1 tys. m</w:t>
      </w:r>
      <w:r>
        <w:rPr>
          <w:vertAlign w:val="superscript"/>
        </w:rPr>
        <w:t>2</w:t>
      </w:r>
      <w:r>
        <w:t xml:space="preserve">, </w:t>
      </w:r>
    </w:p>
    <w:p w:rsidR="004B13E5" w:rsidRDefault="00C82989">
      <w:pPr>
        <w:numPr>
          <w:ilvl w:val="0"/>
          <w:numId w:val="5"/>
        </w:numPr>
        <w:ind w:right="74" w:hanging="360"/>
      </w:pPr>
      <w:r>
        <w:t xml:space="preserve">Długość rur ochronnych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 m, </w:t>
      </w:r>
    </w:p>
    <w:p w:rsidR="004B13E5" w:rsidRDefault="00C82989">
      <w:pPr>
        <w:spacing w:after="19" w:line="259" w:lineRule="auto"/>
        <w:ind w:left="643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pStyle w:val="Nagwek3"/>
        <w:spacing w:after="54"/>
        <w:ind w:left="-5"/>
      </w:pPr>
      <w:r>
        <w:t xml:space="preserve">6. KOLIZJE I UZGODNIENIA </w:t>
      </w:r>
    </w:p>
    <w:p w:rsidR="004B13E5" w:rsidRDefault="00C82989">
      <w:pPr>
        <w:spacing w:after="44"/>
        <w:ind w:right="74"/>
      </w:pPr>
      <w:r>
        <w:t xml:space="preserve">Zastosowane rozwiązania projektowe dostosowano do warunków określonych w poniższych uzgodnieniach.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4B13E5" w:rsidRDefault="00C82989">
      <w:pPr>
        <w:ind w:left="360" w:right="74" w:hanging="360"/>
      </w:pPr>
      <w:r>
        <w:rPr>
          <w:b/>
        </w:rPr>
        <w:t xml:space="preserve">6.1. Kolizje: </w:t>
      </w:r>
      <w:r>
        <w:rPr>
          <w:rFonts w:ascii="Segoe UI Symbol" w:eastAsia="Segoe UI Symbol" w:hAnsi="Segoe UI Symbol" w:cs="Segoe UI Symbol"/>
        </w:rPr>
        <w:t></w:t>
      </w:r>
      <w:r>
        <w:t xml:space="preserve"> sieć energetyczna -  słupy energetyczne poza granicami pasa drogowego, na gruntach prywatnych, nie występuje więc możliwość uszkodzenia słupów. Zgodnie z art. 54.2. Rozporządzenia MTiGM z dnia 2 marca 1999r. w sprawie warunków technicznych, jakim powinny odpowiadać drogi publiczne i ich usytuowanie zachowana zostanie skrajnia drogowa jak dla drogi klasy D wynosząca 4,5m co uniemożliwi uszkodzenie przewodów sieci energetycznej w trakcie wykonywania prac budowlanych oraz eksploatacji drogi. Ponadto odległość pionowa przewodów sieci energetycznej od projektowanej nawierzchni drogi wynosić będzie ponad 7m a zgodnie z pkt. 19.2 PN-E-05100-1-1998 (Elektroenergetyczne linie napowietrzne) minimalna odległość pionowa przewodów uziemionych przy największym zwisie normalnym od drogi powinna wynosić dla linii o napięciu do 1kV 4,5m zaś dla linii o napięciu powyżej 1kV 5,5m.</w:t>
      </w:r>
      <w:r>
        <w:rPr>
          <w:color w:val="FF0000"/>
        </w:rPr>
        <w:t xml:space="preserve"> </w:t>
      </w:r>
    </w:p>
    <w:p w:rsidR="004B13E5" w:rsidRDefault="00C82989">
      <w:pPr>
        <w:spacing w:after="0" w:line="259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4B13E5" w:rsidRDefault="00C82989">
      <w:pPr>
        <w:numPr>
          <w:ilvl w:val="0"/>
          <w:numId w:val="6"/>
        </w:numPr>
        <w:spacing w:after="60"/>
        <w:ind w:right="74" w:hanging="348"/>
      </w:pPr>
      <w:r>
        <w:lastRenderedPageBreak/>
        <w:t>sieć telekomunikacyjna – warunki techniczne na zabezpieczenie istniejącej sieci telekomunikacyjnej uzgodniono z jej zarządcą pismem nr. 30530/TTISILU/P/2018.</w:t>
      </w:r>
      <w:r>
        <w:rPr>
          <w:color w:val="FF0000"/>
        </w:rPr>
        <w:t xml:space="preserve"> </w:t>
      </w:r>
    </w:p>
    <w:p w:rsidR="004B13E5" w:rsidRDefault="00C82989">
      <w:pPr>
        <w:numPr>
          <w:ilvl w:val="0"/>
          <w:numId w:val="6"/>
        </w:numPr>
        <w:ind w:right="74" w:hanging="348"/>
      </w:pPr>
      <w:r>
        <w:t xml:space="preserve">wodociąg gminny - głębokość zagłębienia około 2m ppt. wykopy pod drogę do 0,5m ppt nie występuje więc możliwość uszkodzenia  wodociągu w trakcie prowadzonych robót.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3E5" w:rsidRDefault="00C82989">
      <w:pPr>
        <w:spacing w:after="39" w:line="259" w:lineRule="auto"/>
        <w:ind w:left="-5" w:right="0"/>
        <w:jc w:val="left"/>
      </w:pPr>
      <w:r>
        <w:rPr>
          <w:b/>
        </w:rPr>
        <w:t xml:space="preserve">6.2. Uzgodnienia: </w:t>
      </w:r>
    </w:p>
    <w:p w:rsidR="004B13E5" w:rsidRDefault="00C82989">
      <w:pPr>
        <w:numPr>
          <w:ilvl w:val="0"/>
          <w:numId w:val="6"/>
        </w:numPr>
        <w:ind w:right="74" w:hanging="348"/>
      </w:pPr>
      <w:r>
        <w:t xml:space="preserve">Koordynacja sytuowania projektowanych sieci –  zgodnie z art. 28b.1. Ustawy z dnia 17 maja 1989r. Prawo geodezyjne i kartograficzne  „Sytuowanie projektowanych sieci uzbrojenia terenu na obszarach miast oraz w pasach drogowych na terenie istniejącej lub projektowanej zwartej zabudowy obszarów wiejskich, uzgadnia się na naradach koordynacyjnych organizowanych przez starostę”, dodatkowo zgodnie z art 28b.2.1) "Przepisu ust. 1 nie stosuje sie do przyłączy" ponadto zgodnie z art.2.11. </w:t>
      </w:r>
    </w:p>
    <w:p w:rsidR="004B13E5" w:rsidRDefault="00C82989">
      <w:pPr>
        <w:spacing w:after="62"/>
        <w:ind w:left="730" w:right="74"/>
      </w:pPr>
      <w:r>
        <w:t xml:space="preserve">Ustawy z dnia 17 maja 1989r. Prawo geodezyjne i kartograficzne „sieć uzbrojenia terenu – rozumie się przez to wszelkiego rodzaju nadziemne, naziemne i podziemne przewody i urządzenia: wodociągowe, kanalizacyjne, gazowe, cieplne, telekomunikacyjne, elektroenergetyczne i inne, z wyłączeniem urządzeń melioracji szczegółowej, a także podziemne budowle, jak: tunele, przejścia, parkingi, zbiorniki itp.” w związku z powyższym dla planowanej inwestycji koordynacja nie jest wymagana. </w:t>
      </w:r>
    </w:p>
    <w:p w:rsidR="004B13E5" w:rsidRDefault="00C82989">
      <w:pPr>
        <w:numPr>
          <w:ilvl w:val="0"/>
          <w:numId w:val="6"/>
        </w:numPr>
        <w:ind w:right="74" w:hanging="348"/>
      </w:pPr>
      <w:r>
        <w:t xml:space="preserve">Wycinka drzew i krzewów – nie przewiduje się wycinki drzew i krzewów, </w:t>
      </w:r>
    </w:p>
    <w:p w:rsidR="004B13E5" w:rsidRDefault="00C82989">
      <w:pPr>
        <w:numPr>
          <w:ilvl w:val="0"/>
          <w:numId w:val="6"/>
        </w:numPr>
        <w:ind w:right="74" w:hanging="348"/>
      </w:pPr>
      <w:r>
        <w:t xml:space="preserve">Dodzielenia gruntów – nie przewiduje się dodzieleń z gruntów prywatnych. </w:t>
      </w:r>
    </w:p>
    <w:p w:rsidR="004B13E5" w:rsidRDefault="00C82989">
      <w:pPr>
        <w:spacing w:after="41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4B13E5" w:rsidRDefault="00C82989">
      <w:pPr>
        <w:numPr>
          <w:ilvl w:val="0"/>
          <w:numId w:val="7"/>
        </w:numPr>
        <w:spacing w:after="17" w:line="259" w:lineRule="auto"/>
        <w:ind w:right="0" w:hanging="269"/>
        <w:jc w:val="left"/>
      </w:pPr>
      <w:r>
        <w:rPr>
          <w:b/>
        </w:rPr>
        <w:t xml:space="preserve">DANE INFORMUJĄCE – ochrona konserwatorska </w:t>
      </w:r>
    </w:p>
    <w:p w:rsidR="004B13E5" w:rsidRDefault="00C82989">
      <w:pPr>
        <w:spacing w:after="61" w:line="259" w:lineRule="auto"/>
        <w:ind w:left="283" w:right="0" w:firstLine="0"/>
        <w:jc w:val="left"/>
      </w:pPr>
      <w:r>
        <w:t xml:space="preserve"> </w:t>
      </w:r>
    </w:p>
    <w:p w:rsidR="004B13E5" w:rsidRDefault="00C82989">
      <w:pPr>
        <w:ind w:left="293" w:right="74"/>
      </w:pPr>
      <w:r>
        <w:t xml:space="preserve">Inwestycja realizowana będzie poza strefą objętą ochroną konserwatorską. </w:t>
      </w:r>
    </w:p>
    <w:p w:rsidR="004B13E5" w:rsidRDefault="00C82989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4B13E5" w:rsidRDefault="00C82989">
      <w:pPr>
        <w:numPr>
          <w:ilvl w:val="0"/>
          <w:numId w:val="7"/>
        </w:numPr>
        <w:spacing w:after="17" w:line="259" w:lineRule="auto"/>
        <w:ind w:right="0" w:hanging="269"/>
        <w:jc w:val="left"/>
      </w:pPr>
      <w:r>
        <w:rPr>
          <w:b/>
        </w:rPr>
        <w:t xml:space="preserve">WPŁYW </w:t>
      </w:r>
      <w:r>
        <w:rPr>
          <w:b/>
        </w:rPr>
        <w:tab/>
        <w:t xml:space="preserve">EKSPLOATACJI </w:t>
      </w:r>
      <w:r>
        <w:rPr>
          <w:b/>
        </w:rPr>
        <w:tab/>
        <w:t xml:space="preserve">GÓRNICZEJ </w:t>
      </w:r>
      <w:r>
        <w:rPr>
          <w:b/>
        </w:rPr>
        <w:tab/>
        <w:t xml:space="preserve">NA </w:t>
      </w:r>
      <w:r>
        <w:rPr>
          <w:b/>
        </w:rPr>
        <w:tab/>
        <w:t xml:space="preserve">TEREN </w:t>
      </w:r>
      <w:r>
        <w:rPr>
          <w:b/>
        </w:rPr>
        <w:tab/>
        <w:t xml:space="preserve">ZAMIERZENIA BUDOWLANEGO </w:t>
      </w:r>
    </w:p>
    <w:p w:rsidR="004B13E5" w:rsidRDefault="00C82989">
      <w:pPr>
        <w:spacing w:after="61" w:line="259" w:lineRule="auto"/>
        <w:ind w:left="708" w:right="0" w:firstLine="0"/>
        <w:jc w:val="left"/>
      </w:pPr>
      <w:r>
        <w:t xml:space="preserve"> </w:t>
      </w:r>
    </w:p>
    <w:p w:rsidR="004B13E5" w:rsidRDefault="00C82989">
      <w:pPr>
        <w:ind w:right="74"/>
      </w:pPr>
      <w:r>
        <w:t xml:space="preserve">Teren inwestycji znajduje się poza granicami terenów górniczych. </w:t>
      </w:r>
    </w:p>
    <w:p w:rsidR="004B13E5" w:rsidRDefault="00C82989">
      <w:pPr>
        <w:spacing w:after="63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4B13E5" w:rsidRDefault="00C82989">
      <w:pPr>
        <w:pStyle w:val="Nagwek3"/>
        <w:spacing w:after="53"/>
        <w:ind w:left="293"/>
      </w:pPr>
      <w:r>
        <w:t xml:space="preserve">8.  INFORMACJA O ZAGROŻENIACH DLA ŚRODOWISKA ORAZ HIGIENY I ZDROWIA UŻYTKOWNIKÓW PROJEKTOWANEGO OBIEKTU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3E5" w:rsidRDefault="00C82989">
      <w:pPr>
        <w:ind w:left="0" w:right="74" w:firstLine="283"/>
      </w:pPr>
      <w:r>
        <w:t xml:space="preserve">Zgodnie z rozporządzeniem RM z dnia 9 listopada 2010 r. w sprawie przedsięwzięć mogących znacząco oddziaływać na środowisko oraz rozporządzeniem RM z dnia 25 czerwca 2013 r. zmieniającym rozporządzenie w sprawie przedsięwzięć mogących znacząco oddziaływać na środowisko, § 3.1., pkt. 60 do przedsięwzięć mogących potencjalnie znaczącą oddziaływać na środowisko zalicza się drogi o nawierzchni twardej o całkowitej długości przedsięwzięcia powyżej 1km. Zgodnie z ustawą z dnia 21 marca 1985 r. o drogach publicznych § 4., pkt. 2 droga jest  budowlą wraz z drogowymi obiektami inżynierskimi, urządzeniami oraz instalacjami, stanowiącą całość techniczno-użytkową, przeznaczoną do prowadzenia ruchu drogowego, zlokalizowaną w pasie drogowym. Zgodnie z ustawą z dnia 3 października 2008 r. o udostępnianiu informacji o środowisku i jego ochronie, udziale społeczeństwa w ochronie środowiska oraz o ocenach oddziaływania na środowisko § 71.2. </w:t>
      </w:r>
      <w:r>
        <w:lastRenderedPageBreak/>
        <w:t xml:space="preserve">„Uzyskanie decyzji o środowiskowych uwarunkowaniach jest wymagane dla planowanych: 1) przedsięwzięć mogących zawsze znacząco oddziaływać na środowisko; 2) przedsięwzięć mogących potencjalnie znacząco oddziaływać na środowisko”. W związku z powyższym dla planowanej inwestycji nie sporządzono decyzję o środowiskowych uwarunkowaniach zgody na realizację przedsięwzięcia. </w:t>
      </w:r>
    </w:p>
    <w:p w:rsidR="004B13E5" w:rsidRDefault="00C82989">
      <w:pPr>
        <w:ind w:left="0" w:right="74" w:firstLine="283"/>
      </w:pPr>
      <w:r>
        <w:t xml:space="preserve">Inwestycja realizowana będzie w obszarze chronionego krajobrazu Dolina Przysowy, zarówno podczas budowy jak i eksploatacji nie naruszy równowagi przyrodniczej. </w:t>
      </w:r>
    </w:p>
    <w:p w:rsidR="004B13E5" w:rsidRDefault="00C82989">
      <w:pPr>
        <w:spacing w:after="41"/>
        <w:ind w:right="74"/>
      </w:pPr>
      <w:r>
        <w:t xml:space="preserve">Planowana inwestycja nie będzie miała wpływu na obszar Natura 2000, najbliższym obszarem chronionym zaliczonym do Natura 2000 jest  Dolina Przysowy i Słudwi kod </w:t>
      </w:r>
    </w:p>
    <w:p w:rsidR="004B13E5" w:rsidRDefault="00C82989">
      <w:pPr>
        <w:ind w:right="74"/>
      </w:pPr>
      <w:r>
        <w:t xml:space="preserve">PLB100003 – położona w odl. około 1km od terenu robót. Inne obszary chronione to Uroczyska Łąckie kod PLH140021 (12km), Kampinoska Dolina Wisły kod PLH 140029 (16km) oraz Dolina Środkowej Wisły kod PLB140004 (18km). </w:t>
      </w:r>
    </w:p>
    <w:p w:rsidR="004B13E5" w:rsidRDefault="00C82989">
      <w:pPr>
        <w:spacing w:after="42"/>
        <w:ind w:left="0" w:right="74" w:firstLine="283"/>
      </w:pPr>
      <w:r>
        <w:t xml:space="preserve">Zakres oddziaływania inwestycji ogranicza się do działek jak na stronie tytułowej i nie narusza interesów osób trzecich.  </w:t>
      </w:r>
    </w:p>
    <w:p w:rsidR="004B13E5" w:rsidRDefault="00C82989">
      <w:pPr>
        <w:spacing w:after="59"/>
        <w:ind w:left="0" w:right="74" w:firstLine="283"/>
      </w:pPr>
      <w:r>
        <w:t xml:space="preserve">Zgodnie z Ustawą z dnia 7 lipca 1994 r. Prawo Budowlane, Art.30.7. Realizacja robót drogowych objętych zgłoszeniem nie spowoduje: </w:t>
      </w:r>
    </w:p>
    <w:p w:rsidR="004B13E5" w:rsidRDefault="00C82989">
      <w:pPr>
        <w:numPr>
          <w:ilvl w:val="0"/>
          <w:numId w:val="8"/>
        </w:numPr>
        <w:ind w:right="74" w:hanging="288"/>
      </w:pPr>
      <w:r>
        <w:t xml:space="preserve">zagrożenia bezpieczeństwa ludzi i mienia, </w:t>
      </w:r>
    </w:p>
    <w:p w:rsidR="004B13E5" w:rsidRDefault="00C82989">
      <w:pPr>
        <w:numPr>
          <w:ilvl w:val="0"/>
          <w:numId w:val="8"/>
        </w:numPr>
        <w:ind w:right="74" w:hanging="288"/>
      </w:pPr>
      <w:r>
        <w:t xml:space="preserve">pogorszenia stanu środowiska lub stanu zachowania zabytków, </w:t>
      </w:r>
    </w:p>
    <w:p w:rsidR="004B13E5" w:rsidRDefault="00C82989">
      <w:pPr>
        <w:numPr>
          <w:ilvl w:val="0"/>
          <w:numId w:val="8"/>
        </w:numPr>
        <w:ind w:right="74" w:hanging="288"/>
      </w:pPr>
      <w:r>
        <w:t xml:space="preserve">pogorszenia warunków zdrowotno-sanitarnych, </w:t>
      </w:r>
    </w:p>
    <w:p w:rsidR="004B13E5" w:rsidRDefault="00C82989">
      <w:pPr>
        <w:numPr>
          <w:ilvl w:val="0"/>
          <w:numId w:val="8"/>
        </w:numPr>
        <w:spacing w:after="42"/>
        <w:ind w:right="74" w:hanging="288"/>
      </w:pPr>
      <w:r>
        <w:t xml:space="preserve">wprowadzenia, utrwalenia bądź zwiększenia ograniczeń uciążliwości dla terenów sąsiednich. </w:t>
      </w:r>
    </w:p>
    <w:p w:rsidR="004B13E5" w:rsidRDefault="00C82989">
      <w:pPr>
        <w:spacing w:after="67"/>
        <w:ind w:left="293" w:right="74"/>
      </w:pPr>
      <w:r>
        <w:t xml:space="preserve">W wyniku przebudowy drogi: </w:t>
      </w:r>
    </w:p>
    <w:p w:rsidR="004B13E5" w:rsidRDefault="00C82989">
      <w:pPr>
        <w:numPr>
          <w:ilvl w:val="0"/>
          <w:numId w:val="9"/>
        </w:numPr>
        <w:ind w:right="74" w:hanging="348"/>
      </w:pPr>
      <w:r>
        <w:t xml:space="preserve">poprawią się warunki komunikacyjne, wzrośnie bezpieczeństwo pieszych, </w:t>
      </w:r>
    </w:p>
    <w:p w:rsidR="004B13E5" w:rsidRDefault="00C82989">
      <w:pPr>
        <w:numPr>
          <w:ilvl w:val="0"/>
          <w:numId w:val="9"/>
        </w:numPr>
        <w:spacing w:after="60"/>
        <w:ind w:right="74" w:hanging="348"/>
      </w:pPr>
      <w:r>
        <w:t xml:space="preserve">natężenie ruchu nie ulegnie zmianom, poprawi się tylko komfort jazdy, nie nastąpi zwiększenie a raczej zmniejszenie emisji spalin do atmosfery, </w:t>
      </w:r>
    </w:p>
    <w:p w:rsidR="004B13E5" w:rsidRDefault="00C82989">
      <w:pPr>
        <w:numPr>
          <w:ilvl w:val="0"/>
          <w:numId w:val="9"/>
        </w:numPr>
        <w:spacing w:after="59"/>
        <w:ind w:right="74" w:hanging="348"/>
      </w:pPr>
      <w:r>
        <w:t xml:space="preserve">poprawią się warunki w otoczeniu drogi, zniknie pylenie spowodowane przez przejeżdżające pojazdy i wiatr, </w:t>
      </w:r>
    </w:p>
    <w:p w:rsidR="004B13E5" w:rsidRDefault="00C82989">
      <w:pPr>
        <w:numPr>
          <w:ilvl w:val="0"/>
          <w:numId w:val="9"/>
        </w:numPr>
        <w:spacing w:after="60"/>
        <w:ind w:right="74" w:hanging="348"/>
      </w:pPr>
      <w:r>
        <w:t xml:space="preserve">szybkość pojazdów nie ulegnie zmianie, droga położona na obszarze o szybkości istniejąca i projektowanej do 50km/h, </w:t>
      </w:r>
    </w:p>
    <w:p w:rsidR="004B13E5" w:rsidRDefault="00C82989">
      <w:pPr>
        <w:numPr>
          <w:ilvl w:val="0"/>
          <w:numId w:val="9"/>
        </w:numPr>
        <w:spacing w:after="45"/>
        <w:ind w:right="74" w:hanging="348"/>
      </w:pPr>
      <w:r>
        <w:t xml:space="preserve">z drogi korzystać będą tylko mieszkańcy, droga po całkowitym zakończeniu przebudowy pozostanie drogą lokalną, brak  przesłanek  wzrostu jej znaczenia poza poprawą warunków komunikacyjnych mieszkańców. </w:t>
      </w:r>
    </w:p>
    <w:p w:rsidR="004B13E5" w:rsidRDefault="00C82989">
      <w:pPr>
        <w:spacing w:after="57"/>
        <w:ind w:left="293" w:right="74"/>
      </w:pPr>
      <w:r>
        <w:t xml:space="preserve">W celu zapewnienia bezpieczeństwa ludzi i mienia należy:  </w:t>
      </w:r>
    </w:p>
    <w:p w:rsidR="004B13E5" w:rsidRDefault="00C82989">
      <w:pPr>
        <w:numPr>
          <w:ilvl w:val="0"/>
          <w:numId w:val="10"/>
        </w:numPr>
        <w:spacing w:after="65"/>
        <w:ind w:right="74" w:hanging="348"/>
      </w:pPr>
      <w:r>
        <w:t xml:space="preserve">Na czas budowy wprowadzić tymczasową organizację ruchu stanowiąca odrębne opracowanie.  </w:t>
      </w:r>
    </w:p>
    <w:p w:rsidR="004B13E5" w:rsidRDefault="00C82989">
      <w:pPr>
        <w:numPr>
          <w:ilvl w:val="0"/>
          <w:numId w:val="10"/>
        </w:numPr>
        <w:ind w:right="74" w:hanging="348"/>
      </w:pPr>
      <w:r>
        <w:t xml:space="preserve">Zapewni możliwość dojazdu do wszystkich działek podczas wykonywania prac.  </w:t>
      </w:r>
    </w:p>
    <w:p w:rsidR="004B13E5" w:rsidRDefault="00C82989">
      <w:pPr>
        <w:numPr>
          <w:ilvl w:val="0"/>
          <w:numId w:val="10"/>
        </w:numPr>
        <w:spacing w:line="322" w:lineRule="auto"/>
        <w:ind w:right="74" w:hanging="348"/>
      </w:pPr>
      <w:r>
        <w:t xml:space="preserve">Zapewnić pracownikom bezpieczeństwo poprzez: </w:t>
      </w:r>
      <w:r>
        <w:rPr>
          <w:rFonts w:ascii="Courier New" w:eastAsia="Courier New" w:hAnsi="Courier New" w:cs="Courier New"/>
        </w:rPr>
        <w:t>o</w:t>
      </w:r>
      <w:r>
        <w:t xml:space="preserve"> prawidłowe i staranne oznakowanie robót wpływa w sposób zasadniczy na bezpieczeństwo ruchu w obrębie prowadzonych robót, </w:t>
      </w:r>
    </w:p>
    <w:p w:rsidR="004B13E5" w:rsidRDefault="00C82989">
      <w:pPr>
        <w:numPr>
          <w:ilvl w:val="1"/>
          <w:numId w:val="10"/>
        </w:numPr>
        <w:spacing w:after="72"/>
        <w:ind w:right="74" w:hanging="360"/>
      </w:pPr>
      <w:r>
        <w:t xml:space="preserve">podstawowym znakiem ostrzegającym o robotach jest znak A-14, </w:t>
      </w:r>
    </w:p>
    <w:p w:rsidR="004B13E5" w:rsidRDefault="00C82989">
      <w:pPr>
        <w:numPr>
          <w:ilvl w:val="1"/>
          <w:numId w:val="10"/>
        </w:numPr>
        <w:spacing w:line="330" w:lineRule="auto"/>
        <w:ind w:right="74" w:hanging="360"/>
      </w:pPr>
      <w:r>
        <w:t xml:space="preserve">wszelkie znaki i sygnały związane z robotami muszą być usuwane niezwłocznie po zakończeniu robót lub przestawiane w miarę ich postępu, </w:t>
      </w:r>
    </w:p>
    <w:p w:rsidR="004B13E5" w:rsidRDefault="00C82989">
      <w:pPr>
        <w:numPr>
          <w:ilvl w:val="1"/>
          <w:numId w:val="10"/>
        </w:numPr>
        <w:ind w:right="74" w:hanging="360"/>
      </w:pPr>
      <w:r>
        <w:t xml:space="preserve">do oznakowania robót stosujemy wyłącznie znaki odblaskowe duże, o czytelnym piktogramie, </w:t>
      </w:r>
    </w:p>
    <w:p w:rsidR="004B13E5" w:rsidRDefault="00C82989">
      <w:pPr>
        <w:numPr>
          <w:ilvl w:val="1"/>
          <w:numId w:val="10"/>
        </w:numPr>
        <w:spacing w:line="332" w:lineRule="auto"/>
        <w:ind w:right="74" w:hanging="360"/>
      </w:pPr>
      <w:r>
        <w:lastRenderedPageBreak/>
        <w:t xml:space="preserve">podstawowym urządzeniem zabezpieczającym jest zapora biało-czerwona o szerokości deski 30 cm, </w:t>
      </w:r>
    </w:p>
    <w:p w:rsidR="004B13E5" w:rsidRDefault="00C82989">
      <w:pPr>
        <w:numPr>
          <w:ilvl w:val="1"/>
          <w:numId w:val="10"/>
        </w:numPr>
        <w:spacing w:line="326" w:lineRule="auto"/>
        <w:ind w:right="74" w:hanging="360"/>
      </w:pPr>
      <w:r>
        <w:t xml:space="preserve">konstrukcja pachołków i znaków przenośnych używanych do oznakowania robót musi zapewniać odpowiednią stabilność, </w:t>
      </w:r>
    </w:p>
    <w:p w:rsidR="004B13E5" w:rsidRDefault="00C82989">
      <w:pPr>
        <w:numPr>
          <w:ilvl w:val="1"/>
          <w:numId w:val="10"/>
        </w:numPr>
        <w:spacing w:after="44"/>
        <w:ind w:right="74" w:hanging="360"/>
      </w:pPr>
      <w:r>
        <w:t xml:space="preserve">poza ww uwagami obowiązują warunki BHP przy robotach na drodze,  na budowie obowiązuje bezwzględny nakaz noszenia kamizelek ostrzegawczych barwy pomarańczowej, </w:t>
      </w:r>
    </w:p>
    <w:p w:rsidR="004B13E5" w:rsidRDefault="00C82989">
      <w:pPr>
        <w:numPr>
          <w:ilvl w:val="1"/>
          <w:numId w:val="10"/>
        </w:numPr>
        <w:spacing w:line="330" w:lineRule="auto"/>
        <w:ind w:right="74" w:hanging="360"/>
      </w:pPr>
      <w:r>
        <w:t xml:space="preserve">oznakowanie robót zgodnie z zatwierdzoną tymczasową organizacją ruchu na czas budowy według odrębnego opracowania. </w:t>
      </w:r>
    </w:p>
    <w:p w:rsidR="004B13E5" w:rsidRDefault="00C82989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4B13E5" w:rsidRDefault="00C82989">
      <w:pPr>
        <w:pStyle w:val="Nagwek3"/>
        <w:ind w:left="293"/>
      </w:pPr>
      <w:r>
        <w:t xml:space="preserve">9.  INNE KONIECZNE DANE </w:t>
      </w:r>
    </w:p>
    <w:p w:rsidR="004B13E5" w:rsidRDefault="00C82989">
      <w:pPr>
        <w:spacing w:after="60" w:line="259" w:lineRule="auto"/>
        <w:ind w:left="360" w:right="0" w:firstLine="0"/>
        <w:jc w:val="left"/>
      </w:pPr>
      <w:r>
        <w:t xml:space="preserve"> </w:t>
      </w:r>
    </w:p>
    <w:p w:rsidR="004B13E5" w:rsidRDefault="00C82989">
      <w:pPr>
        <w:spacing w:after="29"/>
        <w:ind w:left="355" w:right="74"/>
      </w:pPr>
      <w:r>
        <w:t xml:space="preserve">Występują roboty proste takie jak: </w:t>
      </w:r>
    </w:p>
    <w:p w:rsidR="004B13E5" w:rsidRDefault="00C82989">
      <w:pPr>
        <w:numPr>
          <w:ilvl w:val="0"/>
          <w:numId w:val="11"/>
        </w:numPr>
        <w:spacing w:after="66"/>
        <w:ind w:right="74" w:hanging="348"/>
      </w:pPr>
      <w:r>
        <w:t xml:space="preserve">podbudowa </w:t>
      </w:r>
      <w:r>
        <w:tab/>
        <w:t xml:space="preserve">i </w:t>
      </w:r>
      <w:r>
        <w:tab/>
        <w:t xml:space="preserve">nawierzchnia </w:t>
      </w:r>
      <w:r>
        <w:tab/>
        <w:t xml:space="preserve">drogi </w:t>
      </w:r>
      <w:r>
        <w:tab/>
        <w:t xml:space="preserve">w </w:t>
      </w:r>
      <w:r>
        <w:tab/>
        <w:t xml:space="preserve">technologii </w:t>
      </w:r>
      <w:r>
        <w:tab/>
        <w:t xml:space="preserve">tradycyjnej, </w:t>
      </w:r>
      <w:r>
        <w:tab/>
        <w:t xml:space="preserve">konstrukcja nieskomplikowana, </w:t>
      </w:r>
    </w:p>
    <w:p w:rsidR="004B13E5" w:rsidRDefault="00C82989">
      <w:pPr>
        <w:numPr>
          <w:ilvl w:val="0"/>
          <w:numId w:val="11"/>
        </w:numPr>
        <w:ind w:right="74" w:hanging="348"/>
      </w:pPr>
      <w:r>
        <w:t>wykonanie i uporządkowanie poboczy,</w:t>
      </w:r>
      <w:r>
        <w:rPr>
          <w:b/>
        </w:rPr>
        <w:t xml:space="preserve"> </w:t>
      </w:r>
    </w:p>
    <w:p w:rsidR="004B13E5" w:rsidRDefault="00C82989">
      <w:pPr>
        <w:numPr>
          <w:ilvl w:val="0"/>
          <w:numId w:val="11"/>
        </w:numPr>
        <w:ind w:right="74" w:hanging="348"/>
      </w:pPr>
      <w:r>
        <w:t>zabezpieczenie kolidujących sieci rurami ochronnymi,</w:t>
      </w:r>
      <w:r>
        <w:rPr>
          <w:b/>
        </w:rPr>
        <w:t xml:space="preserve"> </w:t>
      </w:r>
    </w:p>
    <w:p w:rsidR="004B13E5" w:rsidRDefault="00C82989">
      <w:pPr>
        <w:numPr>
          <w:ilvl w:val="0"/>
          <w:numId w:val="11"/>
        </w:numPr>
        <w:spacing w:after="19" w:line="295" w:lineRule="auto"/>
        <w:ind w:right="74" w:hanging="348"/>
      </w:pPr>
      <w:r>
        <w:t>odmulenie rowów.</w:t>
      </w:r>
      <w:r>
        <w:rPr>
          <w:b/>
        </w:rPr>
        <w:t xml:space="preserve"> </w:t>
      </w:r>
      <w:r>
        <w:t>Technologia robót: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zabezpieczanie rurą ochronnymi kolidującej sieci, </w:t>
      </w:r>
    </w:p>
    <w:p w:rsidR="004B13E5" w:rsidRDefault="00C82989">
      <w:pPr>
        <w:numPr>
          <w:ilvl w:val="1"/>
          <w:numId w:val="11"/>
        </w:numPr>
        <w:spacing w:line="330" w:lineRule="auto"/>
        <w:ind w:right="74" w:hanging="360"/>
      </w:pPr>
      <w:r>
        <w:t xml:space="preserve">wyrównanie mechaniczne istniejącej nawierzchni tłuczniowej z uzupełnieniem zadoleń kruszywem łamanym, </w:t>
      </w:r>
    </w:p>
    <w:p w:rsidR="004B13E5" w:rsidRDefault="00C82989">
      <w:pPr>
        <w:numPr>
          <w:ilvl w:val="1"/>
          <w:numId w:val="11"/>
        </w:numPr>
        <w:spacing w:line="329" w:lineRule="auto"/>
        <w:ind w:right="74" w:hanging="360"/>
      </w:pPr>
      <w:r>
        <w:t xml:space="preserve">dogęszczenie walcem gładkim ułożonej podbudowy, likwidacja na bieżąco powstałych zadoleń, </w:t>
      </w:r>
    </w:p>
    <w:p w:rsidR="004B13E5" w:rsidRDefault="00C82989">
      <w:pPr>
        <w:numPr>
          <w:ilvl w:val="1"/>
          <w:numId w:val="11"/>
        </w:numPr>
        <w:spacing w:line="321" w:lineRule="auto"/>
        <w:ind w:right="74" w:hanging="360"/>
      </w:pPr>
      <w:r>
        <w:t xml:space="preserve">ułożenie mechaniczne nawierzchni jezdni z betonu asfaltowego, </w:t>
      </w:r>
      <w:r>
        <w:rPr>
          <w:rFonts w:ascii="Courier New" w:eastAsia="Courier New" w:hAnsi="Courier New" w:cs="Courier New"/>
        </w:rPr>
        <w:t>o</w:t>
      </w:r>
      <w:r>
        <w:t xml:space="preserve"> uzupełnienie poboczy tłuczniem. </w:t>
      </w:r>
    </w:p>
    <w:p w:rsidR="004B13E5" w:rsidRDefault="00C82989">
      <w:pPr>
        <w:spacing w:after="42"/>
        <w:ind w:left="293" w:right="74"/>
      </w:pPr>
      <w:r>
        <w:t xml:space="preserve">Wykonawca musi dysponować wiedzą techniczną  i sprzętem pozwalającym mu na wykonanie wyżej wymienionych prac. Zachować warunki z załączonych i omówionych uzgodnień. </w:t>
      </w:r>
    </w:p>
    <w:p w:rsidR="004B13E5" w:rsidRDefault="00C82989">
      <w:pPr>
        <w:spacing w:after="70"/>
        <w:ind w:left="355" w:right="74"/>
      </w:pPr>
      <w:r>
        <w:t xml:space="preserve">Wymagania dla wykonawcy robót: </w:t>
      </w:r>
    </w:p>
    <w:p w:rsidR="004B13E5" w:rsidRDefault="00C82989">
      <w:pPr>
        <w:numPr>
          <w:ilvl w:val="0"/>
          <w:numId w:val="11"/>
        </w:numPr>
        <w:spacing w:after="65"/>
        <w:ind w:right="74" w:hanging="348"/>
      </w:pPr>
      <w:r>
        <w:t xml:space="preserve">w fazie realizacji przedsięwzięcia należy wygaszać silniki spalinowe maszyn i pojazdów wykorzystywanych na potrzeby realizacji inwestycji w czasie, gdy nie są  eksploatowane, </w:t>
      </w:r>
    </w:p>
    <w:p w:rsidR="004B13E5" w:rsidRDefault="00C82989">
      <w:pPr>
        <w:numPr>
          <w:ilvl w:val="0"/>
          <w:numId w:val="11"/>
        </w:numPr>
        <w:spacing w:after="48"/>
        <w:ind w:right="74" w:hanging="348"/>
      </w:pPr>
      <w:r>
        <w:t xml:space="preserve">wszystkie roboty prowadzić w porze dziennej, zakres robót ograniczony do pasa drogowego, unikać nadmiernych uciążliwości dla środowiska i hałasu, </w:t>
      </w:r>
    </w:p>
    <w:p w:rsidR="004B13E5" w:rsidRDefault="00C82989">
      <w:pPr>
        <w:numPr>
          <w:ilvl w:val="0"/>
          <w:numId w:val="11"/>
        </w:numPr>
        <w:spacing w:after="65"/>
        <w:ind w:right="74" w:hanging="348"/>
      </w:pPr>
      <w:r>
        <w:t xml:space="preserve">wody opadowe bezpośrednio na pobocza i teren przyległy w granicach pasa drogowego,  </w:t>
      </w:r>
    </w:p>
    <w:p w:rsidR="004B13E5" w:rsidRDefault="00C82989">
      <w:pPr>
        <w:numPr>
          <w:ilvl w:val="0"/>
          <w:numId w:val="11"/>
        </w:numPr>
        <w:spacing w:after="60"/>
        <w:ind w:right="74" w:hanging="348"/>
      </w:pPr>
      <w:r>
        <w:t xml:space="preserve">chronić powierzchnię ziemi przed zanieczyszczeniem, kruszywo dostarczać bezpośrednio  w koryto jezdni a nie na składowisko, </w:t>
      </w:r>
    </w:p>
    <w:p w:rsidR="004B13E5" w:rsidRDefault="00C82989">
      <w:pPr>
        <w:numPr>
          <w:ilvl w:val="0"/>
          <w:numId w:val="11"/>
        </w:numPr>
        <w:ind w:right="74" w:hanging="348"/>
      </w:pPr>
      <w:r>
        <w:t xml:space="preserve">chronić istniejący drzewostan, </w:t>
      </w:r>
    </w:p>
    <w:p w:rsidR="004B13E5" w:rsidRDefault="00C82989">
      <w:pPr>
        <w:numPr>
          <w:ilvl w:val="0"/>
          <w:numId w:val="11"/>
        </w:numPr>
        <w:ind w:right="74" w:hanging="348"/>
      </w:pPr>
      <w:r>
        <w:t xml:space="preserve">odpady z masy bitumicznej wywieźć na bazę do recyklingu, </w:t>
      </w:r>
    </w:p>
    <w:p w:rsidR="004B13E5" w:rsidRDefault="00C82989">
      <w:pPr>
        <w:numPr>
          <w:ilvl w:val="0"/>
          <w:numId w:val="11"/>
        </w:numPr>
        <w:spacing w:after="62"/>
        <w:ind w:right="74" w:hanging="348"/>
      </w:pPr>
      <w:r>
        <w:lastRenderedPageBreak/>
        <w:t xml:space="preserve">odpady o kodzie 170504 magazynować w pryzmie usytuowanej w miejscu nie kolidującym z pracami budowlanymi. Odpady te wykorzystać do kształtowania poboczy i przyległego terenu, </w:t>
      </w:r>
    </w:p>
    <w:p w:rsidR="004B13E5" w:rsidRDefault="00C82989">
      <w:pPr>
        <w:numPr>
          <w:ilvl w:val="0"/>
          <w:numId w:val="11"/>
        </w:numPr>
        <w:spacing w:after="44"/>
        <w:ind w:right="74" w:hanging="348"/>
      </w:pPr>
      <w:r>
        <w:t xml:space="preserve">zwracać szczególną uwagę na możliwość zanieczyszczenia gruntu i wód materiałami ropopochodnymi, </w:t>
      </w:r>
    </w:p>
    <w:p w:rsidR="004B13E5" w:rsidRDefault="00C82989">
      <w:pPr>
        <w:spacing w:after="2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B13E5" w:rsidRDefault="00C82989">
      <w:pPr>
        <w:spacing w:after="39"/>
        <w:ind w:left="293" w:right="74"/>
      </w:pPr>
      <w:r>
        <w:t xml:space="preserve">Wszelkie roboty związane z planowanym przedsięwzięciem prowadzić zgodnie z obowiązującymi przepisami, dokumentacją projektową oraz w sposób nie zagrażający zdrowiu i życiu ludzi. </w:t>
      </w:r>
    </w:p>
    <w:p w:rsidR="004B13E5" w:rsidRDefault="00C82989">
      <w:pPr>
        <w:spacing w:after="25" w:line="259" w:lineRule="auto"/>
        <w:ind w:left="566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4B13E5" w:rsidRDefault="00C82989">
      <w:pPr>
        <w:spacing w:after="17" w:line="259" w:lineRule="auto"/>
        <w:ind w:left="-5" w:right="0"/>
        <w:jc w:val="left"/>
      </w:pPr>
      <w:r>
        <w:rPr>
          <w:b/>
        </w:rPr>
        <w:t xml:space="preserve">10. PRZEWIDYWANY TERMIN PRZYSTĄPIENIA DO ROBÓT – od  01.09.2018 r. </w:t>
      </w:r>
    </w:p>
    <w:p w:rsidR="004B13E5" w:rsidRDefault="00C82989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sectPr w:rsidR="004B13E5">
      <w:headerReference w:type="even" r:id="rId7"/>
      <w:headerReference w:type="default" r:id="rId8"/>
      <w:headerReference w:type="first" r:id="rId9"/>
      <w:pgSz w:w="11906" w:h="16838"/>
      <w:pgMar w:top="989" w:right="655" w:bottom="744" w:left="1419" w:header="7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F9" w:rsidRDefault="00BD66F9">
      <w:pPr>
        <w:spacing w:after="0" w:line="240" w:lineRule="auto"/>
      </w:pPr>
      <w:r>
        <w:separator/>
      </w:r>
    </w:p>
  </w:endnote>
  <w:endnote w:type="continuationSeparator" w:id="0">
    <w:p w:rsidR="00BD66F9" w:rsidRDefault="00BD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F9" w:rsidRDefault="00BD66F9">
      <w:pPr>
        <w:spacing w:after="0" w:line="240" w:lineRule="auto"/>
      </w:pPr>
      <w:r>
        <w:separator/>
      </w:r>
    </w:p>
  </w:footnote>
  <w:footnote w:type="continuationSeparator" w:id="0">
    <w:p w:rsidR="00BD66F9" w:rsidRDefault="00BD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E5" w:rsidRDefault="00C82989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13E5" w:rsidRDefault="00C829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E5" w:rsidRDefault="00C82989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13E5" w:rsidRDefault="00C829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E5" w:rsidRDefault="00C82989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13E5" w:rsidRDefault="00C829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FE2"/>
    <w:multiLevelType w:val="hybridMultilevel"/>
    <w:tmpl w:val="A9A48370"/>
    <w:lvl w:ilvl="0" w:tplc="C5444BEE">
      <w:start w:val="1"/>
      <w:numFmt w:val="bullet"/>
      <w:lvlText w:val="•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8B5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233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F15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A709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E56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97E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0050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ADE0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55C"/>
    <w:multiLevelType w:val="hybridMultilevel"/>
    <w:tmpl w:val="4C968CCE"/>
    <w:lvl w:ilvl="0" w:tplc="2116D17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E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8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01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48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8C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41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66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D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05EF4"/>
    <w:multiLevelType w:val="hybridMultilevel"/>
    <w:tmpl w:val="F06A94D4"/>
    <w:lvl w:ilvl="0" w:tplc="F58824C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C256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ABE8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0E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8C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6A7B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2F7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E42A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ED26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01C8C"/>
    <w:multiLevelType w:val="hybridMultilevel"/>
    <w:tmpl w:val="C00C02B8"/>
    <w:lvl w:ilvl="0" w:tplc="B08A4946">
      <w:start w:val="6"/>
      <w:numFmt w:val="decimal"/>
      <w:lvlText w:val="%1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022E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280B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8BD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68B7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C9E3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266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40B8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C85D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555BE"/>
    <w:multiLevelType w:val="hybridMultilevel"/>
    <w:tmpl w:val="2DAA19D8"/>
    <w:lvl w:ilvl="0" w:tplc="CA7EE7D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4731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306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C39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526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6C5B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D5A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ECF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2A55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008A7"/>
    <w:multiLevelType w:val="hybridMultilevel"/>
    <w:tmpl w:val="3FB43174"/>
    <w:lvl w:ilvl="0" w:tplc="BF86EE0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AD97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EA0E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D23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A5B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8592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C04E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0E7C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8159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BA183C"/>
    <w:multiLevelType w:val="hybridMultilevel"/>
    <w:tmpl w:val="E06C2586"/>
    <w:lvl w:ilvl="0" w:tplc="F9BC387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97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027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4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7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34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F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22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09F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D1E5A"/>
    <w:multiLevelType w:val="hybridMultilevel"/>
    <w:tmpl w:val="1CD0C93C"/>
    <w:lvl w:ilvl="0" w:tplc="AE18527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F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68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04E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60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C7F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AD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82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E8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9685A"/>
    <w:multiLevelType w:val="hybridMultilevel"/>
    <w:tmpl w:val="45ECDE08"/>
    <w:lvl w:ilvl="0" w:tplc="953CBB0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21C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4D00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8944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4421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E86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0100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E19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600C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62112"/>
    <w:multiLevelType w:val="hybridMultilevel"/>
    <w:tmpl w:val="C06C6E0A"/>
    <w:lvl w:ilvl="0" w:tplc="EC6A67E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44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827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6F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E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C8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BD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CF3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192BA8"/>
    <w:multiLevelType w:val="hybridMultilevel"/>
    <w:tmpl w:val="22022FD8"/>
    <w:lvl w:ilvl="0" w:tplc="B9E037E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AC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1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A8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031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40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E6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C4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9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E5"/>
    <w:rsid w:val="004B13E5"/>
    <w:rsid w:val="007B23A8"/>
    <w:rsid w:val="00BA480D"/>
    <w:rsid w:val="00BD66F9"/>
    <w:rsid w:val="00C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700"/>
  <w15:docId w15:val="{97DB6F65-39AF-46C5-B57D-F041D7E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10" w:right="3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42" w:lineRule="auto"/>
      <w:ind w:left="1987" w:right="284" w:firstLine="514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83"/>
      <w:jc w:val="right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PROJEKTOWE s</vt:lpstr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PROJEKTOWE s</dc:title>
  <dc:subject/>
  <dc:creator>Skutnik Zenobia</dc:creator>
  <cp:keywords/>
  <cp:lastModifiedBy>Ewelina_Gmina</cp:lastModifiedBy>
  <cp:revision>3</cp:revision>
  <dcterms:created xsi:type="dcterms:W3CDTF">2019-06-24T08:15:00Z</dcterms:created>
  <dcterms:modified xsi:type="dcterms:W3CDTF">2019-06-26T14:34:00Z</dcterms:modified>
</cp:coreProperties>
</file>